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center"/>
        <w:tblInd w:w="0" w:type="dxa"/>
        <w:tblLayout w:type="fixed"/>
        <w:tblCellMar>
          <w:top w:w="0" w:type="dxa"/>
          <w:left w:w="0" w:type="dxa"/>
          <w:bottom w:w="0" w:type="dxa"/>
          <w:right w:w="0" w:type="dxa"/>
        </w:tblCellMar>
        <w:tblLook w:val="04a0" w:noHBand="0" w:noVBand="1" w:firstColumn="1" w:lastRow="0" w:lastColumn="0" w:firstRow="1"/>
      </w:tblPr>
      <w:tblGrid>
        <w:gridCol w:w="9922"/>
      </w:tblGrid>
      <w:tr>
        <w:trPr/>
        <w:tc>
          <w:tcPr>
            <w:tcW w:w="9922" w:type="dxa"/>
            <w:tcBorders/>
            <w:vAlign w:val="center"/>
          </w:tcPr>
          <w:p>
            <w:pPr>
              <w:pStyle w:val="Normal"/>
              <w:spacing w:lineRule="auto" w:line="240" w:before="0" w:after="0"/>
              <w:contextualSpacing/>
              <w:jc w:val="center"/>
              <w:rPr>
                <w:rFonts w:ascii="Times New Roman" w:hAnsi="Times New Roman" w:eastAsia="Times New Roman" w:cs="Times New Roman"/>
                <w:sz w:val="32"/>
                <w:szCs w:val="32"/>
                <w:lang w:eastAsia="ru-RU"/>
              </w:rPr>
            </w:pPr>
            <w:r>
              <w:rPr>
                <w:rFonts w:eastAsia="Times New Roman" w:cs="Times New Roman" w:ascii="Times New Roman" w:hAnsi="Times New Roman"/>
                <w:b/>
                <w:bCs/>
                <w:sz w:val="32"/>
                <w:szCs w:val="32"/>
                <w:lang w:eastAsia="ru-RU"/>
              </w:rPr>
              <w:t>Как принять наследство?</w:t>
            </w:r>
          </w:p>
        </w:tc>
      </w:tr>
    </w:tbl>
    <w:p>
      <w:pPr>
        <w:pStyle w:val="Normal"/>
        <w:spacing w:lineRule="auto" w:line="240" w:before="168" w:after="0"/>
        <w:ind w:firstLine="709"/>
        <w:contextualSpacing/>
        <w:jc w:val="both"/>
        <w:rPr>
          <w:rFonts w:ascii="Times New Roman" w:hAnsi="Times New Roman" w:eastAsia="Times New Roman" w:cs="Times New Roman"/>
          <w:sz w:val="27"/>
          <w:szCs w:val="27"/>
          <w:lang w:eastAsia="ru-RU"/>
        </w:rPr>
      </w:pPr>
      <w:r>
        <w:rPr>
          <w:rFonts w:eastAsia="Times New Roman" w:cs="Times New Roman" w:ascii="Times New Roman" w:hAnsi="Times New Roman"/>
          <w:sz w:val="27"/>
          <w:szCs w:val="27"/>
          <w:lang w:eastAsia="ru-RU"/>
        </w:rPr>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По общему правилу, чтобы приобрести наследство, наследник должен его принять в течение шести месяцев со дня открытия наследства (п. 1 ст. 1152, п. 1 ст. 1154 ГК РФ).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 (п. 1 ст. 1116 ГК РФ).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Принять наследство можно двумя способами (п. п. 1, 2 ст. 1153 ГК РФ):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подать заявление нотариусу (наиболее распространенный способ); </w:t>
      </w:r>
    </w:p>
    <w:tbl>
      <w:tblPr>
        <w:tblW w:w="5000" w:type="pct"/>
        <w:jc w:val="left"/>
        <w:tblInd w:w="0" w:type="dxa"/>
        <w:tblLayout w:type="fixed"/>
        <w:tblCellMar>
          <w:top w:w="0" w:type="dxa"/>
          <w:left w:w="0" w:type="dxa"/>
          <w:bottom w:w="0" w:type="dxa"/>
          <w:right w:w="0" w:type="dxa"/>
        </w:tblCellMar>
        <w:tblLook w:val="04a0" w:noHBand="0" w:noVBand="1" w:firstColumn="1" w:lastRow="0" w:lastColumn="0" w:firstRow="1"/>
      </w:tblPr>
      <w:tblGrid>
        <w:gridCol w:w="9922"/>
      </w:tblGrid>
      <w:tr>
        <w:trPr/>
        <w:tc>
          <w:tcPr>
            <w:tcW w:w="9922" w:type="dxa"/>
            <w:tcBorders/>
            <w:vAlign w:val="center"/>
          </w:tcPr>
          <w:p>
            <w:pPr>
              <w:pStyle w:val="Normal"/>
              <w:spacing w:lineRule="auto" w:line="240" w:before="0"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 совершить действия, свидетельствующие о фактическом принятии наследства.  </w:t>
            </w:r>
          </w:p>
          <w:p>
            <w:pPr>
              <w:pStyle w:val="Normal"/>
              <w:spacing w:lineRule="auto" w:line="240" w:before="0" w:after="0"/>
              <w:ind w:firstLine="709"/>
              <w:contextualSpacing/>
              <w:rPr>
                <w:rFonts w:ascii="Times New Roman" w:hAnsi="Times New Roman" w:eastAsia="Times New Roman" w:cs="Times New Roman"/>
                <w:sz w:val="26"/>
                <w:szCs w:val="26"/>
                <w:lang w:eastAsia="ru-RU"/>
              </w:rPr>
            </w:pPr>
            <w:r>
              <w:rPr>
                <w:rFonts w:eastAsia="Times New Roman" w:cs="Times New Roman" w:ascii="Times New Roman" w:hAnsi="Times New Roman"/>
                <w:b/>
                <w:bCs/>
                <w:sz w:val="26"/>
                <w:szCs w:val="26"/>
                <w:lang w:eastAsia="ru-RU"/>
              </w:rPr>
              <w:t>1. Порядок принятия наследства путем подачи заявления нотариусу</w:t>
            </w:r>
            <w:r>
              <w:rPr>
                <w:rFonts w:eastAsia="Times New Roman" w:cs="Times New Roman" w:ascii="Times New Roman" w:hAnsi="Times New Roman"/>
                <w:sz w:val="26"/>
                <w:szCs w:val="26"/>
                <w:lang w:eastAsia="ru-RU"/>
              </w:rPr>
              <w:t xml:space="preserve"> </w:t>
            </w:r>
          </w:p>
        </w:tc>
      </w:tr>
    </w:tbl>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Для принятия наследства в течение шести месяцев со дня смерти наследодателя необходимо подать нотариусу по месту открытия наследства (последнему месту жительства наследодателя) заявление о принятии наследства или заявление о выдаче свидетельства о праве на наследство (ст. ст. 1113, 1115, п. 1 ст. 1153, п. 1 ст. 1154 ГК РФ).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Предварительно необходимо проверить, не открыто ли наследственное дело другими наследниками, на официальном сайте Федеральной нотариальной палаты с помощью сервиса «Поиск наследственного дела» в разделе «Справочная - Поиск наследственных дел». Запрос должен содержать фамилию, имя, отчество (при наличии), дату рождения и дату смерти наследодателя (ч. 6 ст. 34.4 Основ законодательства РФ о нотариате).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При подаче заявления потребуется паспорт (иной документ, удостоверяющий личность) (п. 10 Регламента, утв. Приказом Минюста России от 30.08.2017 N 156; п. 5.18 Методических рекомендаций, утв. Решением Правления ФНП от 25.03.2019, Протокол N 03/19).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При отсутствии документа, удостоверяющего личность, или при наличии сомнений относительно личности заявителя нотариус вправе установить вашу личность посредством единой биометрической системы, при условии, что ваши биометрические персональные данные, а также номер мобильного телефона содержатся в указанной системе (ч. 5 ст. 42 Основ законодательства РФ о нотариате; п. 10(1) Регламента N 156; п. п. 1, 3, 4 Порядка, утв. Приказом Минюста России от 30.09.2020 N 228).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Нотариус обязан разъяснить вам, какие документы необходимо еще представить для получения свидетельства о праве на наследство (п. 4.5 Методических рекомендаций).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Заявление может быть подано наследником лично, представителем наследника, передано другим лицом либо по почте. В последних двух случаях подпись наследника должна быть надлежащим образом засвидетельствована. При этом доверенность на передачу заявления другим лицом не требуется.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Заявление может быть представлено другим лицом также в электронной форме, в таком случае равнозначность заявления документу на бумажном носителе должна быть удостоверена.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Принятие наследства через представителя возможно, если в доверенности специально предусмотрено полномочие на принятие наследства. Для принятия наследства законным представителем доверенность не требуется (п. 1 ст. 1153 ГК РФ; п. п. 5.18 - 5.21, 5.23, 5.24 Методических рекомендаций). </w:t>
      </w:r>
    </w:p>
    <w:p>
      <w:pPr>
        <w:pStyle w:val="Normal"/>
        <w:spacing w:lineRule="auto" w:line="240" w:before="0"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Необходимо подготовить заявление о выдаче свидетельства о праве на наследство, если ранее оно не подавалось. Вместе с заявлением также потребуется представить указанные нотариусом документы, подтверждающие, в частности, основания для призвания к наследованию и факт принятия вами наследства (ч. 1 ст. 72, ч. 1 ст. 73 Основ законодательства РФ о нотариате; п. п. 48, 49, 51 Регламента N 156; п. 4.5 Методических рекомендаций).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Если просьба о выдаче свидетельства о праве на наследство была изложена в заявлении о принятии наследства, то дополнительного заявления о выдаче данного свидетельства не требуется при условии указания в таком заявлении состава наследственного имущества (п. 13.1 Методических рекомендаций).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За выдачу нотариусом, работающим в государственной нотариальной конторе, свидетельства о праве на наследство вам необходимо уплатить госпошлину, При обращении к частному нотариусу необходимо уплатить единый нотариальный тариф, включающий федеральный тариф (в размере госпошлины) и региональный тариф (в размере, установленном нотариальной палатой субъекта РФ). Отдельные категории граждан освобождаются от уплаты регионального тарифа полностью или частично (ч. 1, 3 - 5 ст. 22, ч. 2 ст. 25 Основ законодательства РФ о нотариате; п. п. 1, 2 Приложения N 2 к Приказу Минюста России от 12.09.2023 N 253).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При наследовании наследнику выдается свидетельство о праве на наследство.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По общему правилу получить его можно по истечении шести месяцев со дня открытия наследства. Если имеются достоверные данные о том, что кроме лиц, обратившихся за выдачей свидетельства, иных наследников, имеющих право на наследство или его соответствующую часть, не имеется, свидетельство может быть выдано до истечения шестимесячного срока (п. п. 1, 2 ст. 1163 ГК РФ).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Выданное с 29.12.2020 свидетельство о праве на наследство на бумажном носителе должно иметь машиночитаемую маркировку, с помощью которой можно проверить его достоверность (ст. 5.1, ч. 2 ст. 45.1 Основ законодательства РФ о нотариате; ч. 1 ст. 6 Закона от 27.12.2019 N 480-ФЗ). </w:t>
      </w:r>
    </w:p>
    <w:tbl>
      <w:tblPr>
        <w:tblW w:w="5000" w:type="pct"/>
        <w:jc w:val="left"/>
        <w:tblInd w:w="0" w:type="dxa"/>
        <w:tblLayout w:type="fixed"/>
        <w:tblCellMar>
          <w:top w:w="0" w:type="dxa"/>
          <w:left w:w="0" w:type="dxa"/>
          <w:bottom w:w="0" w:type="dxa"/>
          <w:right w:w="0" w:type="dxa"/>
        </w:tblCellMar>
        <w:tblLook w:val="04a0" w:noHBand="0" w:noVBand="1" w:firstColumn="1" w:lastRow="0" w:lastColumn="0" w:firstRow="1"/>
      </w:tblPr>
      <w:tblGrid>
        <w:gridCol w:w="9922"/>
      </w:tblGrid>
      <w:tr>
        <w:trPr/>
        <w:tc>
          <w:tcPr>
            <w:tcW w:w="9922" w:type="dxa"/>
            <w:tcBorders/>
            <w:vAlign w:val="center"/>
          </w:tcPr>
          <w:p>
            <w:pPr>
              <w:pStyle w:val="Normal"/>
              <w:spacing w:lineRule="auto" w:line="240" w:before="0"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Некоторое имущество, права на имущество, полученное по наследству, подлежат государственной регистрации в соответствующих органах, например, право собственности на квартиру. Полученное свидетельство о праве на наследство является одним из оснований такой регистрации. При этом после выдачи свидетельства о праве на наследство нотариус обязан представить в Росреестр заявление о государственной регистрации права и прилагаемые к нему документы. Проведенная государственная регистрация права собственности удостоверяется выпиской из Единого государственного реестра недвижимости (п. 1 ст. 131 ГК РФ; ч. 2 ст. 14, ч. 1 ст. 28 Закона от 13.07.2015 N 218-ФЗ; ч. 3, 4 ст. 72, ч. 3, 4 ст. 73 Основ законодательства РФ о нотариате).   </w:t>
            </w:r>
          </w:p>
          <w:p>
            <w:pPr>
              <w:pStyle w:val="Normal"/>
              <w:spacing w:lineRule="auto" w:line="240" w:before="0" w:after="0"/>
              <w:ind w:firstLine="709"/>
              <w:contextualSpacing/>
              <w:rPr>
                <w:rFonts w:ascii="Times New Roman" w:hAnsi="Times New Roman" w:eastAsia="Times New Roman" w:cs="Times New Roman"/>
                <w:sz w:val="26"/>
                <w:szCs w:val="26"/>
                <w:lang w:eastAsia="ru-RU"/>
              </w:rPr>
            </w:pPr>
            <w:r>
              <w:rPr>
                <w:rFonts w:eastAsia="Times New Roman" w:cs="Times New Roman" w:ascii="Times New Roman" w:hAnsi="Times New Roman"/>
                <w:b/>
                <w:bCs/>
                <w:sz w:val="26"/>
                <w:szCs w:val="26"/>
                <w:lang w:eastAsia="ru-RU"/>
              </w:rPr>
              <w:t>2. Порядок фактического принятия наследства</w:t>
            </w:r>
            <w:r>
              <w:rPr>
                <w:rFonts w:eastAsia="Times New Roman" w:cs="Times New Roman" w:ascii="Times New Roman" w:hAnsi="Times New Roman"/>
                <w:sz w:val="26"/>
                <w:szCs w:val="26"/>
                <w:lang w:eastAsia="ru-RU"/>
              </w:rPr>
              <w:t xml:space="preserve"> </w:t>
            </w:r>
          </w:p>
        </w:tc>
      </w:tr>
    </w:tbl>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Наследник считается принявшим наследство при совершении действий, свидетельствующих о фактическом его принятии, в частности действий по управлению, распоряжению и пользованию наследственным имуществом, поддержанию его в надлежащем состоянии, в которых проявляется отношение наследника к наследству как к собственному имуществу.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Так, можно вселиться в квартиру наследодателя, сделать там ремонт, установить новые замки и охранную сигнализацию. Также возможно оплатить долги наследодателя или получить от других лиц причитавшиеся ему деньги. Данные действия можно совершить самостоятельно или поручить их совершение другим лицам, но должно быть очевидно, что имеется намерение принять наследство (п. 2 ст. 1153 ГК РФ; п. 36 Постановления Пленума Верховного Суда РФ от 29.05.2012 N 9). </w:t>
      </w:r>
    </w:p>
    <w:tbl>
      <w:tblPr>
        <w:tblW w:w="5000" w:type="pct"/>
        <w:jc w:val="left"/>
        <w:tblInd w:w="0" w:type="dxa"/>
        <w:tblLayout w:type="fixed"/>
        <w:tblCellMar>
          <w:top w:w="0" w:type="dxa"/>
          <w:left w:w="0" w:type="dxa"/>
          <w:bottom w:w="0" w:type="dxa"/>
          <w:right w:w="0" w:type="dxa"/>
        </w:tblCellMar>
        <w:tblLook w:val="04a0" w:noHBand="0" w:noVBand="1" w:firstColumn="1" w:lastRow="0" w:lastColumn="0" w:firstRow="1"/>
      </w:tblPr>
      <w:tblGrid>
        <w:gridCol w:w="9922"/>
      </w:tblGrid>
      <w:tr>
        <w:trPr/>
        <w:tc>
          <w:tcPr>
            <w:tcW w:w="9922" w:type="dxa"/>
            <w:tcBorders/>
            <w:vAlign w:val="center"/>
          </w:tcPr>
          <w:p>
            <w:pPr>
              <w:pStyle w:val="Normal"/>
              <w:spacing w:lineRule="auto" w:line="240" w:before="0"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Указанные действия должны быть совершены в пределах шестимесячного срока, установленного для принятия наследства (п. 1 ст. 1154 ГК РФ). </w:t>
            </w:r>
          </w:p>
        </w:tc>
      </w:tr>
    </w:tbl>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Документами, подтверждающими фактическое принятие наследства, являются, например, квитанции об уплате налогов, коммунальных платежей, договоры о проведении ремонта в квартире.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 xml:space="preserve">При отсутствии возможности представить такие документы необходимо обратиться в суд с заявлением об установлении факта принятия наследства, а при наличии спора о праве - с соответствующим иском (п. 1 ч. 1 ст. 262, п. 9 ч. 2 ст. 264, ст. 265 ГПК РФ; п. 52 Регламента N 156; п. 36 Постановления Пленума Верховного Суда РФ N 9). </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Указанные документы, а также заявление о выдаче свидетельства о праве на наследство вам необходимо подать нотариусу по месту открытия наследства (последнему месту жительства наследодателя) (ст. ст. 1113, 1115, п. 1 ст. 1162 ГК РФ), после – получить свидетельство о принятии наследства.</w:t>
      </w:r>
    </w:p>
    <w:p>
      <w:pPr>
        <w:pStyle w:val="Normal"/>
        <w:spacing w:lineRule="auto" w:line="240" w:before="168" w:after="0"/>
        <w:ind w:firstLine="709"/>
        <w:contextualSpacing/>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168" w:after="0"/>
        <w:ind w:firstLine="709"/>
        <w:contextualSpacing/>
        <w:jc w:val="both"/>
        <w:rPr>
          <w:rFonts w:ascii="Times New Roman" w:hAnsi="Times New Roman" w:eastAsia="Times New Roman" w:cs="Times New Roman"/>
          <w:i/>
          <w:i/>
          <w:sz w:val="26"/>
          <w:szCs w:val="26"/>
          <w:lang w:eastAsia="ru-RU"/>
        </w:rPr>
      </w:pPr>
      <w:r>
        <w:rPr>
          <w:rFonts w:eastAsia="Times New Roman" w:cs="Times New Roman" w:ascii="Times New Roman" w:hAnsi="Times New Roman"/>
          <w:i/>
          <w:sz w:val="26"/>
          <w:szCs w:val="26"/>
          <w:lang w:eastAsia="ru-RU"/>
        </w:rPr>
        <w:t xml:space="preserve">      </w:t>
      </w:r>
      <w:r>
        <w:rPr>
          <w:rFonts w:eastAsia="Times New Roman" w:cs="Times New Roman" w:ascii="Times New Roman" w:hAnsi="Times New Roman"/>
          <w:i/>
          <w:sz w:val="26"/>
          <w:szCs w:val="26"/>
          <w:lang w:eastAsia="ru-RU"/>
        </w:rPr>
        <w:tab/>
        <w:tab/>
        <w:tab/>
        <w:tab/>
        <w:tab/>
        <w:t xml:space="preserve">       </w:t>
      </w:r>
      <w:bookmarkStart w:id="0" w:name="_GoBack"/>
      <w:bookmarkEnd w:id="0"/>
      <w:r>
        <w:rPr>
          <w:rFonts w:eastAsia="Times New Roman" w:cs="Times New Roman" w:ascii="Times New Roman" w:hAnsi="Times New Roman"/>
          <w:i/>
          <w:sz w:val="26"/>
          <w:szCs w:val="26"/>
          <w:lang w:eastAsia="ru-RU"/>
        </w:rPr>
        <w:t xml:space="preserve">  Прокуратура </w:t>
      </w:r>
      <w:r>
        <w:rPr>
          <w:rFonts w:eastAsia="Times New Roman" w:cs="Times New Roman" w:ascii="Times New Roman" w:hAnsi="Times New Roman"/>
          <w:i/>
          <w:sz w:val="26"/>
          <w:szCs w:val="26"/>
          <w:lang w:eastAsia="ru-RU"/>
        </w:rPr>
        <w:t>Кировского</w:t>
      </w:r>
      <w:r>
        <w:rPr>
          <w:rFonts w:eastAsia="Times New Roman" w:cs="Times New Roman" w:ascii="Times New Roman" w:hAnsi="Times New Roman"/>
          <w:i/>
          <w:sz w:val="26"/>
          <w:szCs w:val="26"/>
          <w:lang w:eastAsia="ru-RU"/>
        </w:rPr>
        <w:t xml:space="preserve"> района г.Иркутска</w:t>
      </w:r>
    </w:p>
    <w:p>
      <w:pPr>
        <w:pStyle w:val="Normal"/>
        <w:spacing w:lineRule="auto" w:line="240" w:before="168" w:after="0"/>
        <w:ind w:firstLine="709"/>
        <w:contextualSpacing/>
        <w:jc w:val="both"/>
        <w:rPr>
          <w:rFonts w:ascii="Times New Roman" w:hAnsi="Times New Roman" w:eastAsia="Times New Roman" w:cs="Times New Roman"/>
          <w:sz w:val="27"/>
          <w:szCs w:val="27"/>
          <w:lang w:eastAsia="ru-RU"/>
        </w:rPr>
      </w:pPr>
      <w:r>
        <w:rPr>
          <w:rFonts w:eastAsia="Times New Roman" w:cs="Times New Roman" w:ascii="Times New Roman" w:hAnsi="Times New Roman"/>
          <w:sz w:val="27"/>
          <w:szCs w:val="27"/>
          <w:lang w:eastAsia="ru-RU"/>
        </w:rPr>
      </w:r>
    </w:p>
    <w:sectPr>
      <w:headerReference w:type="even" r:id="rId2"/>
      <w:headerReference w:type="default" r:id="rId3"/>
      <w:headerReference w:type="first" r:id="rId4"/>
      <w:type w:val="nextPage"/>
      <w:pgSz w:w="11906" w:h="16838"/>
      <w:pgMar w:left="1418" w:right="566" w:gutter="0" w:header="708" w:top="1134" w:footer="0"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31710488"/>
    </w:sdtPr>
    <w:sdtContent>
      <w:p>
        <w:pPr>
          <w:pStyle w:val="Header"/>
          <w:jc w:val="center"/>
          <w:rPr/>
        </w:pPr>
        <w:r>
          <w:rPr/>
          <w:fldChar w:fldCharType="begin"/>
        </w:r>
        <w:r>
          <w:rPr/>
          <w:instrText xml:space="preserve"> PAGE </w:instrText>
        </w:r>
        <w:r>
          <w:rPr/>
          <w:fldChar w:fldCharType="separate"/>
        </w:r>
        <w:r>
          <w:rPr/>
          <w:t>3</w:t>
        </w:r>
        <w:r>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342771"/>
    <w:rPr/>
  </w:style>
  <w:style w:type="character" w:styleId="Style15" w:customStyle="1">
    <w:name w:val="Нижний колонтитул Знак"/>
    <w:basedOn w:val="DefaultParagraphFont"/>
    <w:uiPriority w:val="99"/>
    <w:qFormat/>
    <w:rsid w:val="00342771"/>
    <w:rPr/>
  </w:style>
  <w:style w:type="paragraph" w:styleId="Style16">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7">
    <w:name w:val="Указатель"/>
    <w:basedOn w:val="Normal"/>
    <w:qFormat/>
    <w:pPr>
      <w:suppressLineNumbers/>
    </w:pPr>
    <w:rPr>
      <w:rFonts w:cs="Noto Sans"/>
    </w:rPr>
  </w:style>
  <w:style w:type="paragraph" w:styleId="NormalWeb">
    <w:name w:val="Normal (Web)"/>
    <w:basedOn w:val="Normal"/>
    <w:uiPriority w:val="99"/>
    <w:unhideWhenUsed/>
    <w:qFormat/>
    <w:rsid w:val="00f5425a"/>
    <w:pPr>
      <w:spacing w:lineRule="auto" w:line="240" w:beforeAutospacing="1" w:afterAutospacing="1"/>
    </w:pPr>
    <w:rPr>
      <w:rFonts w:ascii="Times New Roman" w:hAnsi="Times New Roman" w:eastAsia="Times New Roman" w:cs="Times New Roman"/>
      <w:sz w:val="24"/>
      <w:szCs w:val="24"/>
      <w:lang w:eastAsia="ru-RU"/>
    </w:rPr>
  </w:style>
  <w:style w:type="paragraph" w:styleId="Style18">
    <w:name w:val="Колонтитулы"/>
    <w:basedOn w:val="Normal"/>
    <w:qFormat/>
    <w:pPr/>
    <w:rPr/>
  </w:style>
  <w:style w:type="paragraph" w:styleId="Header">
    <w:name w:val="header"/>
    <w:basedOn w:val="Normal"/>
    <w:link w:val="Style14"/>
    <w:uiPriority w:val="99"/>
    <w:unhideWhenUsed/>
    <w:rsid w:val="00342771"/>
    <w:pPr>
      <w:tabs>
        <w:tab w:val="clear" w:pos="708"/>
        <w:tab w:val="center" w:pos="4677" w:leader="none"/>
        <w:tab w:val="right" w:pos="9355" w:leader="none"/>
      </w:tabs>
      <w:spacing w:lineRule="auto" w:line="240" w:before="0" w:after="0"/>
    </w:pPr>
    <w:rPr/>
  </w:style>
  <w:style w:type="paragraph" w:styleId="Footer">
    <w:name w:val="footer"/>
    <w:basedOn w:val="Normal"/>
    <w:link w:val="Style15"/>
    <w:uiPriority w:val="99"/>
    <w:unhideWhenUsed/>
    <w:rsid w:val="00342771"/>
    <w:pPr>
      <w:tabs>
        <w:tab w:val="clear" w:pos="708"/>
        <w:tab w:val="center" w:pos="4677" w:leader="none"/>
        <w:tab w:val="right" w:pos="9355" w:leader="none"/>
      </w:tabs>
      <w:spacing w:lineRule="auto" w:line="240" w:before="0" w:after="0"/>
    </w:pPr>
    <w:rPr/>
  </w:style>
  <w:style w:type="numbering" w:styleId="Style19"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LibreOffice/24.8.7.2$Linux_X86_64 LibreOffice_project/480$Build-2</Application>
  <AppVersion>15.0000</AppVersion>
  <Pages>3</Pages>
  <Words>1050</Words>
  <Characters>6511</Characters>
  <CharactersWithSpaces>7581</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2024-06-17T12:14:00Z</dcterms:created>
  <dc:creator>Матвеева Наталья Андреевна</dc:creator>
  <dc:description/>
  <dc:language>ru-RU</dc:language>
  <cp:lastModifiedBy/>
  <dcterms:modified xsi:type="dcterms:W3CDTF">2025-12-17T13:00:19Z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